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rFonts w:ascii="Lora" w:cs="Lora" w:eastAsia="Lora" w:hAnsi="Lora"/>
          <w:b w:val="1"/>
          <w:sz w:val="54"/>
          <w:szCs w:val="54"/>
        </w:rPr>
      </w:pPr>
      <w:r w:rsidDel="00000000" w:rsidR="00000000" w:rsidRPr="00000000">
        <w:rPr>
          <w:rFonts w:ascii="Lora" w:cs="Lora" w:eastAsia="Lora" w:hAnsi="Lora"/>
          <w:b w:val="1"/>
          <w:sz w:val="54"/>
          <w:szCs w:val="54"/>
          <w:rtl w:val="0"/>
        </w:rPr>
        <w:t xml:space="preserve">Bryant - Meadow Ridge / Kackman Estates</w:t>
      </w:r>
    </w:p>
    <w:p w:rsidR="00000000" w:rsidDel="00000000" w:rsidP="00000000" w:rsidRDefault="00000000" w:rsidRPr="00000000" w14:paraId="00000002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434388" cy="49852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4388" cy="4985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